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ED4E5B" w:rsidRDefault="00ED4E5B" w:rsidP="00ED4E5B">
      <w:pPr>
        <w:spacing w:line="480" w:lineRule="auto"/>
        <w:jc w:val="center"/>
      </w:pPr>
      <w:r>
        <w:t>Legal Environment</w:t>
      </w:r>
    </w:p>
    <w:p w:rsidR="00ED4E5B" w:rsidRDefault="00ED4E5B" w:rsidP="00ED4E5B">
      <w:pPr>
        <w:spacing w:line="480" w:lineRule="auto"/>
        <w:jc w:val="center"/>
      </w:pPr>
      <w:r>
        <w:t>Name</w:t>
      </w:r>
    </w:p>
    <w:p w:rsidR="00ED4E5B" w:rsidRDefault="00ED4E5B" w:rsidP="00ED4E5B">
      <w:pPr>
        <w:spacing w:line="480" w:lineRule="auto"/>
        <w:jc w:val="center"/>
      </w:pPr>
      <w:r>
        <w:t>Institution</w:t>
      </w:r>
    </w:p>
    <w:p w:rsidR="00ED4E5B" w:rsidRDefault="00ED4E5B" w:rsidP="00ED4E5B">
      <w:pPr>
        <w:spacing w:line="480" w:lineRule="auto"/>
        <w:jc w:val="center"/>
      </w:pPr>
      <w:r>
        <w:t>Date</w:t>
      </w: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F56635" w:rsidRDefault="00F56635" w:rsidP="00ED4E5B">
      <w:pPr>
        <w:spacing w:line="480" w:lineRule="auto"/>
        <w:jc w:val="center"/>
      </w:pPr>
    </w:p>
    <w:p w:rsidR="00ED4E5B" w:rsidRDefault="00ED4E5B" w:rsidP="00ED4E5B">
      <w:pPr>
        <w:spacing w:line="480" w:lineRule="auto"/>
        <w:jc w:val="center"/>
      </w:pPr>
      <w:r>
        <w:lastRenderedPageBreak/>
        <w:t>Legal Environment</w:t>
      </w:r>
    </w:p>
    <w:p w:rsidR="009B0854" w:rsidRPr="00ED4E5B" w:rsidRDefault="009B0854" w:rsidP="00ED4E5B">
      <w:pPr>
        <w:spacing w:line="480" w:lineRule="auto"/>
        <w:jc w:val="center"/>
        <w:rPr>
          <w:b/>
        </w:rPr>
      </w:pPr>
      <w:r w:rsidRPr="00ED4E5B">
        <w:rPr>
          <w:b/>
        </w:rPr>
        <w:t>Part 1</w:t>
      </w:r>
    </w:p>
    <w:p w:rsidR="00A41153" w:rsidRPr="00A41153" w:rsidRDefault="00A41153" w:rsidP="00A41153">
      <w:pPr>
        <w:spacing w:line="480" w:lineRule="auto"/>
        <w:jc w:val="center"/>
        <w:rPr>
          <w:b/>
        </w:rPr>
      </w:pPr>
      <w:r w:rsidRPr="00A41153">
        <w:rPr>
          <w:b/>
        </w:rPr>
        <w:t>Question 1</w:t>
      </w:r>
    </w:p>
    <w:p w:rsidR="00A41153" w:rsidRDefault="00A41153" w:rsidP="00A41153">
      <w:pPr>
        <w:spacing w:line="480" w:lineRule="auto"/>
        <w:ind w:firstLine="720"/>
      </w:pPr>
      <w:r>
        <w:t>At- will policy allows the business to terminate employees for legal reasons, without incurring legal liability. Moreover, the policy can allow the employer to alter terms of engagement with no prior notice and with no consequences. For instance, the business can change the wages of an employee, reduce benefits, or even reduce the amount paid for time-off (NCSL, 2008). On the flip side, the at-will policy allows an employee to terminate the work at any period with no adverse legal perils. In addition, the employee is protected by the law not to be terminated by the employer for illegal reasons. Recently, courts and policymakers have worked together to carve out exceptions in the at-will policy in a bid to curtail the seemingly harsh consequences. In the case of Mable, I believe she had a legal standing to contest for her rights. Mable was fired for no reason or a fault she did not commit, hence rendering the termination by the employer illegal (Morgan, 2020). Mabel can seek legal redress, and the business could be stopped from firing her under the Promissory Estoppel (NCSL, 2008). Therefore, the at-will policy is both advantageous for the employer and employee and allows both parties to act legally and promotes the therapeutic relationship between the employer and the employee.</w:t>
      </w:r>
    </w:p>
    <w:p w:rsidR="00A41153" w:rsidRPr="00A41153" w:rsidRDefault="00A41153" w:rsidP="00A41153">
      <w:pPr>
        <w:spacing w:line="480" w:lineRule="auto"/>
        <w:ind w:firstLine="720"/>
        <w:jc w:val="center"/>
        <w:rPr>
          <w:b/>
        </w:rPr>
      </w:pPr>
      <w:r w:rsidRPr="00A41153">
        <w:rPr>
          <w:b/>
        </w:rPr>
        <w:t>Question 2</w:t>
      </w:r>
    </w:p>
    <w:p w:rsidR="00A41153" w:rsidRDefault="00A41153" w:rsidP="00A41153">
      <w:pPr>
        <w:spacing w:line="480" w:lineRule="auto"/>
        <w:ind w:firstLine="720"/>
      </w:pPr>
      <w:r>
        <w:t xml:space="preserve"> Independent contractors are vital personnel in business and provide several advantages to a business. First, exposure to lawsuits is significantly reduced. Usually, the clear-cut state and federal laws are protecting the rights of ordinary employees that bind the business from actions </w:t>
      </w:r>
      <w:r>
        <w:lastRenderedPageBreak/>
        <w:t xml:space="preserve">such as terminating under-working workers. On the contrary, independent contractors are independent business people and are exempted from such laws. Second, the independent workers provide staffing flexibility allowing the business to fire them when the workload is fluctuating (Quickbooks, 2016). Finally, the business may end up saving a lot of money since the business may not incur a lot of expenses such as office and equipment as well as employers provided benefits when it hires independent contractors. </w:t>
      </w:r>
    </w:p>
    <w:p w:rsidR="00A41153" w:rsidRDefault="00A41153" w:rsidP="00A41153">
      <w:pPr>
        <w:spacing w:line="480" w:lineRule="auto"/>
        <w:ind w:firstLine="720"/>
      </w:pPr>
      <w:r>
        <w:t xml:space="preserve">In order to determine whether a worker is an independent contractor, the IRS 20-factor test is done to spell the terms of work properly. In the case of misclassification of an employee for an independent contractor, an employee is subjected to tax accounting for 41.5% of the contractor's wages (Quickbooks, 2016). Intentional misclassification imposes a criminal conviction of the worker. This is followed by a term in jail, fine, and a label of 'tax evader'. The U.S Department of labour requires a tax evader to settle the back wages for a term of up to three years as well as levy wines for improper record keeping. </w:t>
      </w:r>
    </w:p>
    <w:p w:rsidR="00A41153" w:rsidRPr="00A41153" w:rsidRDefault="00A41153" w:rsidP="00A41153">
      <w:pPr>
        <w:spacing w:line="480" w:lineRule="auto"/>
        <w:ind w:firstLine="720"/>
        <w:jc w:val="center"/>
        <w:rPr>
          <w:b/>
        </w:rPr>
      </w:pPr>
      <w:r w:rsidRPr="00A41153">
        <w:rPr>
          <w:b/>
        </w:rPr>
        <w:t>Question 3</w:t>
      </w:r>
    </w:p>
    <w:p w:rsidR="00A41153" w:rsidRDefault="00A41153" w:rsidP="00A41153">
      <w:pPr>
        <w:spacing w:line="480" w:lineRule="auto"/>
        <w:ind w:firstLine="720"/>
      </w:pPr>
      <w:r>
        <w:t xml:space="preserve">Section 7 of the National Labor Relations Act provide employees with the right to free union and join together to advance their interests (NLRB, 2019). The act restricts employers from interfering with, coercing or restraining employees from exercising this noble right of unionizing. For example, it is unlawful for an employer to interrogate, threaten or spy on pro-union workers or even offering the employees some benefits to lure them into forgetting about the union (Morgan, 2020). As management, if sued for maintaining on union-free organization, I would defend the business using the updated employee handbook that depicts compliance with </w:t>
      </w:r>
      <w:r>
        <w:lastRenderedPageBreak/>
        <w:t>the state and federal laws. In this case, a union organizer may lack any violation of proof of starting a union in the business.</w:t>
      </w:r>
    </w:p>
    <w:p w:rsidR="00A41153" w:rsidRPr="00A41153" w:rsidRDefault="00A41153" w:rsidP="00A41153">
      <w:pPr>
        <w:spacing w:line="480" w:lineRule="auto"/>
        <w:ind w:firstLine="720"/>
        <w:jc w:val="center"/>
        <w:rPr>
          <w:b/>
        </w:rPr>
      </w:pPr>
      <w:r w:rsidRPr="00A41153">
        <w:rPr>
          <w:b/>
        </w:rPr>
        <w:t>Question 4</w:t>
      </w:r>
    </w:p>
    <w:p w:rsidR="00A41153" w:rsidRDefault="00A41153" w:rsidP="00A41153">
      <w:pPr>
        <w:spacing w:line="480" w:lineRule="auto"/>
        <w:ind w:firstLine="720"/>
      </w:pPr>
      <w:r>
        <w:t xml:space="preserve">As a way of improving employees' productivity, most organizations opt on the installation of cameras in public and private areas to monitor the employees. In addition, it can be a bid to prevent theft. These strategies can implicate the privacy of the workers. Any organization should have a responsibility for guarding the privacy of its employees (Mishra &amp; Crampton, 2013). In my organization, the privacy of the employee would remain as a cherished value. The surveillance policies in my organization would allow cameras to be positioned in strategic situations where every worker can see them. Moreover, to prevent any form of complication, the positioning of surveillance cameras will be decided by the entire working staff to ensure that the privacy of the workers is safeguarded. </w:t>
      </w:r>
    </w:p>
    <w:p w:rsidR="00A41153" w:rsidRPr="00A41153" w:rsidRDefault="00A41153" w:rsidP="00A41153">
      <w:pPr>
        <w:spacing w:line="480" w:lineRule="auto"/>
        <w:ind w:firstLine="720"/>
        <w:jc w:val="center"/>
        <w:rPr>
          <w:b/>
        </w:rPr>
      </w:pPr>
      <w:r w:rsidRPr="00A41153">
        <w:rPr>
          <w:b/>
        </w:rPr>
        <w:t>Question 5</w:t>
      </w:r>
    </w:p>
    <w:p w:rsidR="00A41153" w:rsidRDefault="00A41153" w:rsidP="00A41153">
      <w:pPr>
        <w:spacing w:line="480" w:lineRule="auto"/>
        <w:ind w:firstLine="720"/>
      </w:pPr>
      <w:r>
        <w:t xml:space="preserve">In the modern era of massive globalization, cross-culture is greatly pronounced. As a result, an organization can consist of employees from different religions, implying that unclear policies may be interpreted wrong by people coming from some religion (Morgan, 2020). In my organization, all employees, regardless of religion, would be treated equally. It is noteworthy that a religious belief must not be logical or consistent with other religions. For this reason, the criteria I will use to draw a line between personal creed and protected religious beliefs are allowing an employee to be clear when explaining why a belief must be accommodated. I will then compare the rationale with religious rights under Title Seven. </w:t>
      </w:r>
    </w:p>
    <w:p w:rsidR="00A41153" w:rsidRDefault="00A41153" w:rsidP="00A41153">
      <w:pPr>
        <w:spacing w:line="480" w:lineRule="auto"/>
        <w:ind w:firstLine="720"/>
        <w:jc w:val="center"/>
        <w:rPr>
          <w:b/>
        </w:rPr>
      </w:pPr>
    </w:p>
    <w:p w:rsidR="00A41153" w:rsidRPr="00A41153" w:rsidRDefault="00A41153" w:rsidP="00A41153">
      <w:pPr>
        <w:spacing w:line="480" w:lineRule="auto"/>
        <w:ind w:firstLine="720"/>
        <w:jc w:val="center"/>
        <w:rPr>
          <w:b/>
        </w:rPr>
      </w:pPr>
      <w:r w:rsidRPr="00A41153">
        <w:rPr>
          <w:b/>
        </w:rPr>
        <w:lastRenderedPageBreak/>
        <w:t>Question 6</w:t>
      </w:r>
    </w:p>
    <w:p w:rsidR="00A41153" w:rsidRDefault="00A41153" w:rsidP="00A41153">
      <w:pPr>
        <w:spacing w:line="480" w:lineRule="auto"/>
        <w:ind w:firstLine="720"/>
      </w:pPr>
      <w:r>
        <w:t>Title Seven of the Civil Rights Act disallows discrimination in employment based on colour, race, religion, nationality, and sex. Determination of disparate impact is a four-process plan. It includes: identification of the specification policy; establishing the harm; establishing significant disparity; and establishing impact. For an organization to avoid discrimination, it should have sound recruitment policies that are free of discrimination (Morgan, 2020). This involves setting educational requirements and fitness tests as well as other factors that are clear cut to avoid disparate and unintentional discrimination. Moreover, the organization must ensure compliance of the Title Seven requirements in the entire employment relationship.</w:t>
      </w:r>
    </w:p>
    <w:p w:rsidR="00A41153" w:rsidRPr="00A41153" w:rsidRDefault="00A41153" w:rsidP="00A41153">
      <w:pPr>
        <w:spacing w:line="480" w:lineRule="auto"/>
        <w:ind w:firstLine="720"/>
        <w:jc w:val="center"/>
        <w:rPr>
          <w:b/>
        </w:rPr>
      </w:pPr>
      <w:r w:rsidRPr="00A41153">
        <w:rPr>
          <w:b/>
        </w:rPr>
        <w:t>Part 2</w:t>
      </w:r>
    </w:p>
    <w:p w:rsidR="00A41153" w:rsidRDefault="00A41153" w:rsidP="00A41153">
      <w:pPr>
        <w:spacing w:line="480" w:lineRule="auto"/>
        <w:ind w:firstLine="720"/>
        <w:jc w:val="center"/>
      </w:pPr>
      <w:r w:rsidRPr="00A41153">
        <w:rPr>
          <w:b/>
        </w:rPr>
        <w:t>Question 1</w:t>
      </w:r>
    </w:p>
    <w:p w:rsidR="00A41153" w:rsidRDefault="00A41153" w:rsidP="00A41153">
      <w:pPr>
        <w:spacing w:line="480" w:lineRule="auto"/>
        <w:ind w:firstLine="720"/>
      </w:pPr>
      <w:r>
        <w:t>Companies do not have unlimited rights to terminate employees because their plan of engagement is at-will. An employer is bound by state and federal laws, an implied contract, or the company policies (NCSL, 2008). There are exceptions that an employee might cite for unlawful termination of a job. They include: if the employee was injured, the worker relied on an agreement, and finally, if the employer a clear yet unambiguous promise of the job. If an employee can cite or proof such problems, there is a possibility the employer would be stopped from firing the worker. As apparent in the case of Oklahoma, workers present lawsuits to stop the illegal firing.</w:t>
      </w:r>
    </w:p>
    <w:p w:rsidR="00A41153" w:rsidRDefault="00A41153" w:rsidP="00A41153">
      <w:pPr>
        <w:spacing w:line="480" w:lineRule="auto"/>
        <w:ind w:firstLine="720"/>
        <w:jc w:val="center"/>
        <w:rPr>
          <w:b/>
        </w:rPr>
      </w:pPr>
    </w:p>
    <w:p w:rsidR="00A41153" w:rsidRDefault="00A41153" w:rsidP="00A41153">
      <w:pPr>
        <w:spacing w:line="480" w:lineRule="auto"/>
        <w:ind w:firstLine="720"/>
        <w:jc w:val="center"/>
        <w:rPr>
          <w:b/>
        </w:rPr>
      </w:pPr>
    </w:p>
    <w:p w:rsidR="00A41153" w:rsidRPr="00A41153" w:rsidRDefault="00A41153" w:rsidP="00A41153">
      <w:pPr>
        <w:spacing w:line="480" w:lineRule="auto"/>
        <w:ind w:firstLine="720"/>
        <w:jc w:val="center"/>
        <w:rPr>
          <w:b/>
        </w:rPr>
      </w:pPr>
      <w:r w:rsidRPr="00A41153">
        <w:rPr>
          <w:b/>
        </w:rPr>
        <w:lastRenderedPageBreak/>
        <w:t>Question 2</w:t>
      </w:r>
    </w:p>
    <w:p w:rsidR="00A41153" w:rsidRDefault="00A41153" w:rsidP="00A41153">
      <w:pPr>
        <w:spacing w:line="480" w:lineRule="auto"/>
        <w:ind w:firstLine="720"/>
      </w:pPr>
      <w:r>
        <w:t xml:space="preserve">The case of Oklahoma presents a critical reason why an employee can seek legal redress if there is a feeling of wrongful termination. Weyerhaeuser Co. fired employees because guns were found in their vehicles citing that firearms were a violation of the company's policy that banned possessing a gun in the workplace as well as in the parking area (Warren, 2004). Workers protested that they were not aware of the new rule of having a gun in the parking area. The employees filed wrongful-termination lawsuits against the company and its subcontractors, arguing that their termination was illegal and should be reversed. </w:t>
      </w:r>
    </w:p>
    <w:p w:rsidR="00A41153" w:rsidRPr="00A41153" w:rsidRDefault="00A41153" w:rsidP="00A41153">
      <w:pPr>
        <w:spacing w:line="480" w:lineRule="auto"/>
        <w:ind w:firstLine="720"/>
        <w:jc w:val="center"/>
        <w:rPr>
          <w:b/>
        </w:rPr>
      </w:pPr>
      <w:r w:rsidRPr="00A41153">
        <w:rPr>
          <w:b/>
        </w:rPr>
        <w:t>Question 3</w:t>
      </w:r>
    </w:p>
    <w:p w:rsidR="00A41153" w:rsidRDefault="00A41153" w:rsidP="00A41153">
      <w:pPr>
        <w:spacing w:line="480" w:lineRule="auto"/>
        <w:ind w:firstLine="720"/>
      </w:pPr>
      <w:r>
        <w:t xml:space="preserve">The lawsuits against 'illegal' termination by the Weyerhaeuser Co. begged the question that does an employee's constitutional right to possess a firearm to outweigh a company's right to ban weapons on its property? The court of appeal ruled the case to make it clear for every part. The court held that the right to bear firearms is qualified (constitutionally) but not in an employer's property. Citing the Business Owner's Right section of the Oklahoma Self defense Act, the court believed that employers have the right to regulate the possession of a weapon on their property (Cable, 2016). If I were a Judge, I would have passed this judgment as well. I believe it is constitutionally acceptable to own a licensed firearm. Article 2 section 26 holds that, the right of a citizen to keep and bear arms in defense of his home, person or property. Therefore, the reason for possessing a gun is protecting the individual and property. Thus I believe that the ruling of the court of appeal created the right balance and settled the question of employees' possession of firearms and employers regulation of firearms on their properties. </w:t>
      </w:r>
    </w:p>
    <w:p w:rsidR="00A41153" w:rsidRDefault="00A41153" w:rsidP="00A41153">
      <w:pPr>
        <w:spacing w:line="480" w:lineRule="auto"/>
      </w:pPr>
    </w:p>
    <w:p w:rsidR="00A41153" w:rsidRDefault="00A41153" w:rsidP="00A41153">
      <w:pPr>
        <w:spacing w:line="480" w:lineRule="auto"/>
        <w:jc w:val="center"/>
      </w:pPr>
    </w:p>
    <w:p w:rsidR="008A2BAE" w:rsidRDefault="008A2BAE" w:rsidP="00A41153">
      <w:pPr>
        <w:spacing w:line="480" w:lineRule="auto"/>
        <w:jc w:val="center"/>
      </w:pPr>
      <w:r>
        <w:t>References</w:t>
      </w:r>
    </w:p>
    <w:p w:rsidR="008A2BAE" w:rsidRDefault="001B3583" w:rsidP="00ED4E5B">
      <w:pPr>
        <w:pStyle w:val="Bibliography"/>
        <w:spacing w:line="480" w:lineRule="auto"/>
        <w:ind w:left="720" w:hanging="720"/>
        <w:rPr>
          <w:noProof/>
        </w:rPr>
      </w:pPr>
      <w:r>
        <w:fldChar w:fldCharType="begin"/>
      </w:r>
      <w:r w:rsidR="008A2BAE">
        <w:instrText xml:space="preserve"> BIBLIOGRAPHY  \l 1033 </w:instrText>
      </w:r>
      <w:r>
        <w:fldChar w:fldCharType="separate"/>
      </w:r>
      <w:r w:rsidR="008A2BAE">
        <w:rPr>
          <w:noProof/>
        </w:rPr>
        <w:t xml:space="preserve">Cable, J. (2016, February 15). </w:t>
      </w:r>
      <w:r w:rsidR="008A2BAE">
        <w:rPr>
          <w:i/>
          <w:iCs w:val="0"/>
          <w:noProof/>
        </w:rPr>
        <w:t>Court rules in favour of an employer's right to ban firearms.</w:t>
      </w:r>
      <w:r w:rsidR="008A2BAE">
        <w:rPr>
          <w:noProof/>
        </w:rPr>
        <w:t xml:space="preserve"> Retrieved from EHS Today: https://www.ehstoday.com/archive/article/219110235/court-rules-in-favor-of-an-employers-right-to-ban-firearms</w:t>
      </w:r>
    </w:p>
    <w:p w:rsidR="008A2BAE" w:rsidRDefault="008A2BAE" w:rsidP="00ED4E5B">
      <w:pPr>
        <w:pStyle w:val="Bibliography"/>
        <w:spacing w:line="480" w:lineRule="auto"/>
        <w:ind w:left="720" w:hanging="720"/>
        <w:rPr>
          <w:noProof/>
        </w:rPr>
      </w:pPr>
      <w:r>
        <w:rPr>
          <w:noProof/>
        </w:rPr>
        <w:t xml:space="preserve">Mishra, J., &amp; Crampton, S. (2013). Employee Monitoring: Privacy in the Work Place? </w:t>
      </w:r>
      <w:r>
        <w:rPr>
          <w:i/>
          <w:iCs w:val="0"/>
          <w:noProof/>
        </w:rPr>
        <w:t>Advanced Management Journal</w:t>
      </w:r>
      <w:r>
        <w:rPr>
          <w:noProof/>
        </w:rPr>
        <w:t>, 4-5.</w:t>
      </w:r>
    </w:p>
    <w:p w:rsidR="008A2BAE" w:rsidRDefault="008A2BAE" w:rsidP="00ED4E5B">
      <w:pPr>
        <w:pStyle w:val="Bibliography"/>
        <w:spacing w:line="480" w:lineRule="auto"/>
        <w:ind w:left="720" w:hanging="720"/>
        <w:rPr>
          <w:noProof/>
        </w:rPr>
      </w:pPr>
      <w:r>
        <w:rPr>
          <w:noProof/>
        </w:rPr>
        <w:t xml:space="preserve">Morgan, F. (2020). </w:t>
      </w:r>
      <w:r>
        <w:rPr>
          <w:i/>
          <w:iCs w:val="0"/>
          <w:noProof/>
        </w:rPr>
        <w:t>Business Law (6th edition).</w:t>
      </w:r>
      <w:r>
        <w:rPr>
          <w:noProof/>
        </w:rPr>
        <w:t xml:space="preserve"> California: BVT Publishing.</w:t>
      </w:r>
    </w:p>
    <w:p w:rsidR="008A2BAE" w:rsidRDefault="008A2BAE" w:rsidP="00ED4E5B">
      <w:pPr>
        <w:pStyle w:val="Bibliography"/>
        <w:spacing w:line="480" w:lineRule="auto"/>
        <w:ind w:left="720" w:hanging="720"/>
        <w:rPr>
          <w:noProof/>
        </w:rPr>
      </w:pPr>
      <w:r>
        <w:rPr>
          <w:noProof/>
        </w:rPr>
        <w:t xml:space="preserve">NCSL. (2008, April 15). </w:t>
      </w:r>
      <w:r>
        <w:rPr>
          <w:i/>
          <w:iCs w:val="0"/>
          <w:noProof/>
        </w:rPr>
        <w:t>At Will Employment Overview</w:t>
      </w:r>
      <w:r>
        <w:rPr>
          <w:noProof/>
        </w:rPr>
        <w:t>. Retrieved from National Conference of State Legislatures: https://www.ncsl.org/research/labor-and-employment/at-will-employment-overview.aspx</w:t>
      </w:r>
    </w:p>
    <w:p w:rsidR="008A2BAE" w:rsidRDefault="008A2BAE" w:rsidP="00ED4E5B">
      <w:pPr>
        <w:pStyle w:val="Bibliography"/>
        <w:spacing w:line="480" w:lineRule="auto"/>
        <w:ind w:left="720" w:hanging="720"/>
        <w:rPr>
          <w:noProof/>
        </w:rPr>
      </w:pPr>
      <w:r>
        <w:rPr>
          <w:noProof/>
        </w:rPr>
        <w:t xml:space="preserve">NLRB. (2019). </w:t>
      </w:r>
      <w:r>
        <w:rPr>
          <w:i/>
          <w:iCs w:val="0"/>
          <w:noProof/>
        </w:rPr>
        <w:t>Intefering with employees rights (Section 7 &amp; 8 (a) (1))</w:t>
      </w:r>
      <w:r>
        <w:rPr>
          <w:noProof/>
        </w:rPr>
        <w:t>. Retrieved from National Labor Relations Board: https://www.nlrb.gov/rights-we-protect/whats-law/employers/interfring-employee-rights-section-7-8a1</w:t>
      </w:r>
    </w:p>
    <w:p w:rsidR="008A2BAE" w:rsidRDefault="008A2BAE" w:rsidP="00ED4E5B">
      <w:pPr>
        <w:pStyle w:val="Bibliography"/>
        <w:spacing w:line="480" w:lineRule="auto"/>
        <w:ind w:left="720" w:hanging="720"/>
        <w:rPr>
          <w:noProof/>
        </w:rPr>
      </w:pPr>
      <w:r>
        <w:rPr>
          <w:noProof/>
        </w:rPr>
        <w:t xml:space="preserve">Quickbooks. (2016, January 8). </w:t>
      </w:r>
      <w:r>
        <w:rPr>
          <w:i/>
          <w:iCs w:val="0"/>
          <w:noProof/>
        </w:rPr>
        <w:t>How to protect your business when hiring independent contractors</w:t>
      </w:r>
      <w:r>
        <w:rPr>
          <w:noProof/>
        </w:rPr>
        <w:t>. Retrieved from Intuit Quickbooks: https://quickbooks.intuit.com/r/hiring-and-recruiting/how-to-protect-your-business-when-hiring-independent-contractors/</w:t>
      </w:r>
    </w:p>
    <w:p w:rsidR="008A2BAE" w:rsidRDefault="008A2BAE" w:rsidP="00ED4E5B">
      <w:pPr>
        <w:pStyle w:val="Bibliography"/>
        <w:spacing w:line="480" w:lineRule="auto"/>
        <w:ind w:left="720" w:hanging="720"/>
        <w:rPr>
          <w:noProof/>
        </w:rPr>
      </w:pPr>
      <w:r>
        <w:rPr>
          <w:noProof/>
        </w:rPr>
        <w:t xml:space="preserve">Warren, S. (2004). Oklahoma: 12 Fired from Weyerhaeuser for guns in cars. </w:t>
      </w:r>
      <w:r>
        <w:rPr>
          <w:i/>
          <w:iCs w:val="0"/>
          <w:noProof/>
        </w:rPr>
        <w:t>Wall Street Journal</w:t>
      </w:r>
      <w:r>
        <w:rPr>
          <w:noProof/>
        </w:rPr>
        <w:t>, 1-6.</w:t>
      </w:r>
    </w:p>
    <w:p w:rsidR="008A2BAE" w:rsidRDefault="001B3583" w:rsidP="00ED4E5B">
      <w:pPr>
        <w:spacing w:line="480" w:lineRule="auto"/>
      </w:pPr>
      <w:r>
        <w:fldChar w:fldCharType="end"/>
      </w:r>
    </w:p>
    <w:p w:rsidR="00506F93" w:rsidRDefault="00506F93"/>
    <w:sectPr w:rsidR="00506F93" w:rsidSect="00ED4E5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3E65" w:rsidRDefault="00403E65" w:rsidP="00ED4E5B">
      <w:pPr>
        <w:spacing w:after="0"/>
      </w:pPr>
      <w:r>
        <w:separator/>
      </w:r>
    </w:p>
  </w:endnote>
  <w:endnote w:type="continuationSeparator" w:id="1">
    <w:p w:rsidR="00403E65" w:rsidRDefault="00403E65" w:rsidP="00ED4E5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3E65" w:rsidRDefault="00403E65" w:rsidP="00ED4E5B">
      <w:pPr>
        <w:spacing w:after="0"/>
      </w:pPr>
      <w:r>
        <w:separator/>
      </w:r>
    </w:p>
  </w:footnote>
  <w:footnote w:type="continuationSeparator" w:id="1">
    <w:p w:rsidR="00403E65" w:rsidRDefault="00403E65" w:rsidP="00ED4E5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5B" w:rsidRDefault="00ED4E5B">
    <w:pPr>
      <w:pStyle w:val="Header"/>
      <w:jc w:val="right"/>
    </w:pPr>
    <w:r>
      <w:t xml:space="preserve">LEGAL ENVIRONMENT                                                                                                              </w:t>
    </w:r>
    <w:sdt>
      <w:sdtPr>
        <w:id w:val="42487713"/>
        <w:docPartObj>
          <w:docPartGallery w:val="Page Numbers (Top of Page)"/>
          <w:docPartUnique/>
        </w:docPartObj>
      </w:sdtPr>
      <w:sdtContent>
        <w:fldSimple w:instr=" PAGE   \* MERGEFORMAT ">
          <w:r w:rsidR="00A41153">
            <w:rPr>
              <w:noProof/>
            </w:rPr>
            <w:t>4</w:t>
          </w:r>
        </w:fldSimple>
      </w:sdtContent>
    </w:sdt>
  </w:p>
  <w:p w:rsidR="00ED4E5B" w:rsidRDefault="00ED4E5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E5B" w:rsidRDefault="00ED4E5B">
    <w:pPr>
      <w:pStyle w:val="Header"/>
      <w:jc w:val="right"/>
    </w:pPr>
    <w:r>
      <w:t xml:space="preserve">Running head: LEGAL ENVIRONMENT                                                                                      </w:t>
    </w:r>
    <w:sdt>
      <w:sdtPr>
        <w:id w:val="42487594"/>
        <w:docPartObj>
          <w:docPartGallery w:val="Page Numbers (Top of Page)"/>
          <w:docPartUnique/>
        </w:docPartObj>
      </w:sdtPr>
      <w:sdtContent>
        <w:fldSimple w:instr=" PAGE   \* MERGEFORMAT ">
          <w:r w:rsidR="00A41153">
            <w:rPr>
              <w:noProof/>
            </w:rPr>
            <w:t>1</w:t>
          </w:r>
        </w:fldSimple>
      </w:sdtContent>
    </w:sdt>
  </w:p>
  <w:p w:rsidR="00ED4E5B" w:rsidRDefault="00ED4E5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9B0854"/>
    <w:rsid w:val="00016F3F"/>
    <w:rsid w:val="00083086"/>
    <w:rsid w:val="001556A2"/>
    <w:rsid w:val="001677CD"/>
    <w:rsid w:val="001B3583"/>
    <w:rsid w:val="002A390D"/>
    <w:rsid w:val="002B336B"/>
    <w:rsid w:val="002C1BE9"/>
    <w:rsid w:val="002F0F84"/>
    <w:rsid w:val="00326649"/>
    <w:rsid w:val="003C2EBC"/>
    <w:rsid w:val="00403E65"/>
    <w:rsid w:val="004322BD"/>
    <w:rsid w:val="004876A8"/>
    <w:rsid w:val="004E5C9B"/>
    <w:rsid w:val="00506F93"/>
    <w:rsid w:val="005C6BE4"/>
    <w:rsid w:val="005F7F81"/>
    <w:rsid w:val="006149E7"/>
    <w:rsid w:val="006B0250"/>
    <w:rsid w:val="00703F25"/>
    <w:rsid w:val="007738B6"/>
    <w:rsid w:val="007F29D4"/>
    <w:rsid w:val="00806605"/>
    <w:rsid w:val="0081309A"/>
    <w:rsid w:val="0084548A"/>
    <w:rsid w:val="008A2BAE"/>
    <w:rsid w:val="009405D3"/>
    <w:rsid w:val="009B0854"/>
    <w:rsid w:val="00A41153"/>
    <w:rsid w:val="00A77349"/>
    <w:rsid w:val="00B5551A"/>
    <w:rsid w:val="00B729FC"/>
    <w:rsid w:val="00CB0EC7"/>
    <w:rsid w:val="00CF5DAE"/>
    <w:rsid w:val="00E601FF"/>
    <w:rsid w:val="00E866D0"/>
    <w:rsid w:val="00EA1616"/>
    <w:rsid w:val="00ED4E5B"/>
    <w:rsid w:val="00F325D0"/>
    <w:rsid w:val="00F56635"/>
    <w:rsid w:val="00F74F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ajorBidi"/>
        <w:bCs/>
        <w:iCs/>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0E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8A2BAE"/>
  </w:style>
  <w:style w:type="paragraph" w:styleId="Header">
    <w:name w:val="header"/>
    <w:basedOn w:val="Normal"/>
    <w:link w:val="HeaderChar"/>
    <w:uiPriority w:val="99"/>
    <w:unhideWhenUsed/>
    <w:rsid w:val="00ED4E5B"/>
    <w:pPr>
      <w:tabs>
        <w:tab w:val="center" w:pos="4680"/>
        <w:tab w:val="right" w:pos="9360"/>
      </w:tabs>
      <w:spacing w:after="0"/>
    </w:pPr>
  </w:style>
  <w:style w:type="character" w:customStyle="1" w:styleId="HeaderChar">
    <w:name w:val="Header Char"/>
    <w:basedOn w:val="DefaultParagraphFont"/>
    <w:link w:val="Header"/>
    <w:uiPriority w:val="99"/>
    <w:rsid w:val="00ED4E5B"/>
  </w:style>
  <w:style w:type="paragraph" w:styleId="Footer">
    <w:name w:val="footer"/>
    <w:basedOn w:val="Normal"/>
    <w:link w:val="FooterChar"/>
    <w:uiPriority w:val="99"/>
    <w:semiHidden/>
    <w:unhideWhenUsed/>
    <w:rsid w:val="00ED4E5B"/>
    <w:pPr>
      <w:tabs>
        <w:tab w:val="center" w:pos="4680"/>
        <w:tab w:val="right" w:pos="9360"/>
      </w:tabs>
      <w:spacing w:after="0"/>
    </w:pPr>
  </w:style>
  <w:style w:type="character" w:customStyle="1" w:styleId="FooterChar">
    <w:name w:val="Footer Char"/>
    <w:basedOn w:val="DefaultParagraphFont"/>
    <w:link w:val="Footer"/>
    <w:uiPriority w:val="99"/>
    <w:semiHidden/>
    <w:rsid w:val="00ED4E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Cab16</b:Tag>
    <b:SourceType>DocumentFromInternetSite</b:SourceType>
    <b:Guid>{5C3B4BB0-40C1-41F5-88E4-FCF265404891}</b:Guid>
    <b:LCID>0</b:LCID>
    <b:Author>
      <b:Author>
        <b:NameList>
          <b:Person>
            <b:Last>Cable</b:Last>
            <b:First>J.</b:First>
          </b:Person>
        </b:NameList>
      </b:Author>
    </b:Author>
    <b:Title>Court rules in favour of an employer's right to ban firearms</b:Title>
    <b:InternetSiteTitle>EHS Today</b:InternetSiteTitle>
    <b:Year>2016</b:Year>
    <b:Month>February</b:Month>
    <b:Day>15</b:Day>
    <b:URL>https://www.ehstoday.com/archive/article/219110235/court-rules-in-favor-of-an-employers-right-to-ban-firearms</b:URL>
    <b:RefOrder>1</b:RefOrder>
  </b:Source>
  <b:Source>
    <b:Tag>War04</b:Tag>
    <b:SourceType>JournalArticle</b:SourceType>
    <b:Guid>{BDB04825-B046-4B40-9A99-FE07448B9494}</b:Guid>
    <b:LCID>0</b:LCID>
    <b:Author>
      <b:Author>
        <b:NameList>
          <b:Person>
            <b:Last>Warren</b:Last>
            <b:First>S.</b:First>
          </b:Person>
        </b:NameList>
      </b:Author>
    </b:Author>
    <b:Title>Oklahoma: 12 Fired from Weyerhaeuser for guns in cars</b:Title>
    <b:Year>2004</b:Year>
    <b:JournalName>Wall Street Journal</b:JournalName>
    <b:Pages>1-6</b:Pages>
    <b:RefOrder>2</b:RefOrder>
  </b:Source>
  <b:Source>
    <b:Tag>Mis13</b:Tag>
    <b:SourceType>JournalArticle</b:SourceType>
    <b:Guid>{84D8C057-9A92-4B27-8F2A-1C6356F9D70B}</b:Guid>
    <b:LCID>0</b:LCID>
    <b:Author>
      <b:Author>
        <b:NameList>
          <b:Person>
            <b:Last>Mishra</b:Last>
            <b:First>J.</b:First>
          </b:Person>
          <b:Person>
            <b:Last>Crampton</b:Last>
            <b:First>S.</b:First>
          </b:Person>
        </b:NameList>
      </b:Author>
    </b:Author>
    <b:Title>Employee Monitoring: Privacy in the Work Place?</b:Title>
    <b:JournalName>Advanced Management Journal</b:JournalName>
    <b:Year>2013</b:Year>
    <b:Pages>4-5</b:Pages>
    <b:RefOrder>3</b:RefOrder>
  </b:Source>
  <b:Source>
    <b:Tag>NLR19</b:Tag>
    <b:SourceType>InternetSite</b:SourceType>
    <b:Guid>{633D680D-8C9B-486F-B66E-053D103DDD76}</b:Guid>
    <b:LCID>0</b:LCID>
    <b:Author>
      <b:Author>
        <b:NameList>
          <b:Person>
            <b:Last>NLRB</b:Last>
          </b:Person>
        </b:NameList>
      </b:Author>
    </b:Author>
    <b:Title>Intefering with employees rights (Section 7 &amp; 8 (a) (1))</b:Title>
    <b:Year>2019</b:Year>
    <b:InternetSiteTitle>National Labor Relations Board</b:InternetSiteTitle>
    <b:URL>https://www.nlrb.gov/rights-we-protect/whats-law/employers/interfring-employee-rights-section-7-8a1</b:URL>
    <b:RefOrder>4</b:RefOrder>
  </b:Source>
  <b:Source>
    <b:Tag>Qui16</b:Tag>
    <b:SourceType>InternetSite</b:SourceType>
    <b:Guid>{F8B24CAD-496D-4CED-841B-75C644A57A58}</b:Guid>
    <b:LCID>0</b:LCID>
    <b:Author>
      <b:Author>
        <b:NameList>
          <b:Person>
            <b:Last>Quickbooks</b:Last>
          </b:Person>
        </b:NameList>
      </b:Author>
    </b:Author>
    <b:Title>How to protect your business when hiring independent contractors</b:Title>
    <b:InternetSiteTitle>Intuit Quickbooks</b:InternetSiteTitle>
    <b:Year>2016</b:Year>
    <b:Month>January </b:Month>
    <b:Day>8</b:Day>
    <b:URL>https://quickbooks.intuit.com/r/hiring-and-recruiting/how-to-protect-your-business-when-hiring-independent-contractors/</b:URL>
    <b:RefOrder>5</b:RefOrder>
  </b:Source>
  <b:Source>
    <b:Tag>NCS08</b:Tag>
    <b:SourceType>InternetSite</b:SourceType>
    <b:Guid>{EE483417-337B-4591-A803-82658170742B}</b:Guid>
    <b:LCID>0</b:LCID>
    <b:Author>
      <b:Author>
        <b:NameList>
          <b:Person>
            <b:Last>NCSL</b:Last>
          </b:Person>
        </b:NameList>
      </b:Author>
    </b:Author>
    <b:Title>At Will Employment Overview</b:Title>
    <b:InternetSiteTitle>National Conference of State Legislatures</b:InternetSiteTitle>
    <b:Year>2008</b:Year>
    <b:Month>April</b:Month>
    <b:Day>15</b:Day>
    <b:URL>https://www.ncsl.org/research/labor-and-employment/at-will-employment-overview.aspx</b:URL>
    <b:RefOrder>6</b:RefOrder>
  </b:Source>
  <b:Source>
    <b:Tag>Mor20</b:Tag>
    <b:SourceType>Book</b:SourceType>
    <b:Guid>{5D4D2AC3-F20D-415E-BD3E-BDA7B431686F}</b:Guid>
    <b:LCID>0</b:LCID>
    <b:Author>
      <b:Author>
        <b:NameList>
          <b:Person>
            <b:Last>Morgan</b:Last>
            <b:First>F.</b:First>
          </b:Person>
        </b:NameList>
      </b:Author>
    </b:Author>
    <b:Title>Business Law (6th edition)</b:Title>
    <b:Year>2020</b:Year>
    <b:City>California</b:City>
    <b:Publisher>BVT Publishing</b:Publisher>
    <b:RefOrder>7</b:RefOrder>
  </b:Source>
</b:Sources>
</file>

<file path=customXml/itemProps1.xml><?xml version="1.0" encoding="utf-8"?>
<ds:datastoreItem xmlns:ds="http://schemas.openxmlformats.org/officeDocument/2006/customXml" ds:itemID="{83AA8A2B-4C9E-4B4F-AC63-EDE7B04A2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1431</Words>
  <Characters>8162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2019-12-20T11:30:00Z</dcterms:created>
  <dcterms:modified xsi:type="dcterms:W3CDTF">2019-12-20T11:30:00Z</dcterms:modified>
</cp:coreProperties>
</file>